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1 p. 481.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On peut utiliser l’algorithme, ou calculer ‘à la main’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PGCD (350;200) = 50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PGCD (1800;7000)=200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PGCD(1892;2002) = 22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 p. 481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pgcd est le produit de ts les facteurs communs..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PGCD(456;1548)= 2² x 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PGCD(4416;1225)= 1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